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ind w:firstLine="0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攀枝花市市本级截至2024年底债券</w:t>
      </w:r>
    </w:p>
    <w:p>
      <w:pPr>
        <w:spacing w:line="600" w:lineRule="exact"/>
        <w:ind w:firstLine="0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存续期信息公开</w:t>
      </w:r>
    </w:p>
    <w:p>
      <w:pPr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根据《四川省政府债务信息公开实施细则（试行）》等有关规定，现将攀枝花市市本级截至2024年末新增债券存续期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有关信息</w:t>
      </w:r>
      <w:r>
        <w:rPr>
          <w:rFonts w:ascii="Times New Roman" w:eastAsia="方正仿宋_GBK" w:cs="Times New Roman" w:hAnsi="Times New Roman"/>
          <w:sz w:val="32"/>
          <w:szCs w:val="32"/>
        </w:rPr>
        <w:t>进行公开，具体内容详见附件。</w:t>
      </w:r>
    </w:p>
    <w:p>
      <w:pPr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ind w:left="5120" w:hangingChars="1600" w:hanging="512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 xml:space="preserve">                                                    攀枝花市财政局</w:t>
      </w:r>
    </w:p>
    <w:p>
      <w:pPr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 xml:space="preserve">       </w:t>
      </w:r>
      <w:r>
        <w:rPr>
          <w:rFonts w:ascii="Times New Roman" w:eastAsia="方正仿宋_GBK" w:cs="Times New Roman" w:hAnsi="Times New Roman"/>
          <w:sz w:val="32"/>
          <w:szCs w:val="32"/>
        </w:rPr>
        <w:t>2025年6月19日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3D6A53F-47ED-4392-821E-C0D1554FC97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0</Words>
  <Characters>151</Characters>
  <Lines>0</Lines>
  <Paragraphs>7</Paragraphs>
  <CharactersWithSpaces>202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崔今</dc:creator>
  <cp:lastModifiedBy>user</cp:lastModifiedBy>
  <cp:revision>6</cp:revision>
  <dcterms:created xsi:type="dcterms:W3CDTF">2024-06-17T03:22:00Z</dcterms:created>
  <dcterms:modified xsi:type="dcterms:W3CDTF">2025-06-19T07:51:18Z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2052-11.8.6.11825</vt:lpwstr>
  </property>
  <property fmtid="{D5CDD505-2E9C-101B-9397-08002B2CF9AE}" pid="3" name="ICV">
    <vt:lpwstr>5A0D907AF0E146A7996F727F83F36AA7</vt:lpwstr>
  </property>
</Properties>
</file>